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D4905" w:rsidRPr="00E265BE" w:rsidRDefault="0067431E" w:rsidP="00743D28">
      <w:pPr>
        <w:jc w:val="center"/>
        <w:rPr>
          <w:rFonts w:cs="Times New Roman"/>
          <w:b/>
          <w:szCs w:val="24"/>
        </w:rPr>
      </w:pPr>
      <w:r w:rsidRPr="00E265BE">
        <w:rPr>
          <w:rFonts w:cs="Times New Roman"/>
          <w:b/>
          <w:szCs w:val="24"/>
        </w:rPr>
        <w:t>Anemia</w:t>
      </w:r>
    </w:p>
    <w:p w:rsidR="00743D28" w:rsidRPr="00E265BE" w:rsidRDefault="00743D28" w:rsidP="00743D28">
      <w:pPr>
        <w:jc w:val="center"/>
        <w:rPr>
          <w:rFonts w:cs="Times New Roman"/>
          <w:b/>
          <w:szCs w:val="24"/>
        </w:rPr>
      </w:pPr>
    </w:p>
    <w:p w:rsidR="00743D28" w:rsidRPr="00E265BE" w:rsidRDefault="00743D28" w:rsidP="00743D28">
      <w:pPr>
        <w:jc w:val="center"/>
        <w:rPr>
          <w:rFonts w:cs="Times New Roman"/>
          <w:b/>
          <w:szCs w:val="24"/>
        </w:rPr>
      </w:pPr>
    </w:p>
    <w:p w:rsidR="00743D28" w:rsidRPr="00E265BE" w:rsidRDefault="0067431E" w:rsidP="00743D28">
      <w:pPr>
        <w:jc w:val="center"/>
        <w:rPr>
          <w:rFonts w:cs="Times New Roman"/>
          <w:szCs w:val="24"/>
        </w:rPr>
      </w:pPr>
      <w:r w:rsidRPr="00E265BE">
        <w:rPr>
          <w:rFonts w:cs="Times New Roman"/>
          <w:szCs w:val="24"/>
        </w:rPr>
        <w:t>Name</w:t>
      </w:r>
    </w:p>
    <w:p w:rsidR="00743D28" w:rsidRPr="00E265BE" w:rsidRDefault="0067431E" w:rsidP="00743D28">
      <w:pPr>
        <w:jc w:val="center"/>
        <w:rPr>
          <w:rFonts w:cs="Times New Roman"/>
          <w:szCs w:val="24"/>
        </w:rPr>
      </w:pPr>
      <w:r w:rsidRPr="00E265BE">
        <w:rPr>
          <w:rFonts w:cs="Times New Roman"/>
          <w:szCs w:val="24"/>
        </w:rPr>
        <w:t>Affiliation</w:t>
      </w:r>
    </w:p>
    <w:p w:rsidR="00743D28" w:rsidRPr="00E265BE" w:rsidRDefault="0067431E" w:rsidP="00743D28">
      <w:pPr>
        <w:jc w:val="center"/>
        <w:rPr>
          <w:rFonts w:cs="Times New Roman"/>
          <w:szCs w:val="24"/>
        </w:rPr>
      </w:pPr>
      <w:r w:rsidRPr="00E265BE">
        <w:rPr>
          <w:rFonts w:cs="Times New Roman"/>
          <w:szCs w:val="24"/>
        </w:rPr>
        <w:t>Date</w:t>
      </w:r>
    </w:p>
    <w:p w:rsidR="00743D28" w:rsidRPr="00E265BE" w:rsidRDefault="0067431E">
      <w:pPr>
        <w:rPr>
          <w:rFonts w:cs="Times New Roman"/>
          <w:b/>
          <w:szCs w:val="24"/>
        </w:rPr>
      </w:pPr>
      <w:r w:rsidRPr="00E265BE">
        <w:rPr>
          <w:rFonts w:cs="Times New Roman"/>
          <w:b/>
          <w:szCs w:val="24"/>
        </w:rPr>
        <w:br w:type="page"/>
      </w:r>
    </w:p>
    <w:p w:rsidR="000D77F7" w:rsidRPr="00E265BE" w:rsidRDefault="0067431E" w:rsidP="000D77F7">
      <w:pPr>
        <w:jc w:val="center"/>
        <w:rPr>
          <w:rFonts w:cs="Times New Roman"/>
          <w:b/>
          <w:szCs w:val="24"/>
        </w:rPr>
      </w:pPr>
      <w:r w:rsidRPr="00E265BE">
        <w:rPr>
          <w:rFonts w:cs="Times New Roman"/>
          <w:b/>
          <w:szCs w:val="24"/>
        </w:rPr>
        <w:t>Anemia</w:t>
      </w:r>
    </w:p>
    <w:p w:rsidR="000D77F7" w:rsidRPr="00E265BE" w:rsidRDefault="0067431E" w:rsidP="000D77F7">
      <w:pPr>
        <w:rPr>
          <w:rFonts w:cs="Times New Roman"/>
          <w:b/>
          <w:szCs w:val="24"/>
        </w:rPr>
      </w:pPr>
      <w:r w:rsidRPr="00E265BE">
        <w:rPr>
          <w:rFonts w:cs="Times New Roman"/>
          <w:b/>
          <w:szCs w:val="24"/>
        </w:rPr>
        <w:t>Question One</w:t>
      </w:r>
    </w:p>
    <w:p w:rsidR="00AD7547" w:rsidRPr="00E265BE" w:rsidRDefault="0067431E" w:rsidP="000D77F7">
      <w:pPr>
        <w:ind w:firstLine="720"/>
        <w:jc w:val="center"/>
        <w:rPr>
          <w:rFonts w:cs="Times New Roman"/>
          <w:szCs w:val="24"/>
        </w:rPr>
      </w:pPr>
      <w:r w:rsidRPr="00E265BE">
        <w:rPr>
          <w:rFonts w:cs="Times New Roman"/>
          <w:szCs w:val="24"/>
        </w:rPr>
        <w:t>Total iron-binding (TIBC)</w:t>
      </w:r>
      <w:r w:rsidR="009C02DA" w:rsidRPr="00E265BE">
        <w:rPr>
          <w:rFonts w:cs="Times New Roman"/>
          <w:szCs w:val="24"/>
        </w:rPr>
        <w:t>, ferritin</w:t>
      </w:r>
      <w:r w:rsidRPr="00E265BE">
        <w:rPr>
          <w:rFonts w:cs="Times New Roman"/>
          <w:szCs w:val="24"/>
        </w:rPr>
        <w:t>, and serum iron levels in iron studies constitute a set of blood tests to estimate and measure the elem</w:t>
      </w:r>
      <w:r w:rsidR="00FF0226" w:rsidRPr="00E265BE">
        <w:rPr>
          <w:rFonts w:cs="Times New Roman"/>
          <w:szCs w:val="24"/>
        </w:rPr>
        <w:t xml:space="preserve">ental iron carried in the </w:t>
      </w:r>
      <w:r w:rsidR="009C02DA" w:rsidRPr="00E265BE">
        <w:rPr>
          <w:rFonts w:cs="Times New Roman"/>
          <w:szCs w:val="24"/>
        </w:rPr>
        <w:t>blood. This</w:t>
      </w:r>
      <w:r w:rsidR="00FF0226" w:rsidRPr="00E265BE">
        <w:rPr>
          <w:rFonts w:cs="Times New Roman"/>
          <w:szCs w:val="24"/>
        </w:rPr>
        <w:t xml:space="preserve"> mineral is a vital </w:t>
      </w:r>
      <w:r w:rsidR="009C02DA" w:rsidRPr="00E265BE">
        <w:rPr>
          <w:rFonts w:cs="Times New Roman"/>
          <w:szCs w:val="24"/>
        </w:rPr>
        <w:t>component of</w:t>
      </w:r>
      <w:r w:rsidR="00FF0226" w:rsidRPr="00E265BE">
        <w:rPr>
          <w:rFonts w:cs="Times New Roman"/>
          <w:szCs w:val="24"/>
        </w:rPr>
        <w:t xml:space="preserve"> hemoglobin, and thus its deficiency leads typically to </w:t>
      </w:r>
      <w:r w:rsidR="009C02DA" w:rsidRPr="00E265BE">
        <w:rPr>
          <w:rFonts w:cs="Times New Roman"/>
          <w:szCs w:val="24"/>
        </w:rPr>
        <w:t>anemia. The</w:t>
      </w:r>
      <w:r w:rsidR="00FF0226" w:rsidRPr="00E265BE">
        <w:rPr>
          <w:rFonts w:cs="Times New Roman"/>
          <w:szCs w:val="24"/>
        </w:rPr>
        <w:t xml:space="preserve"> estimation of iron being taken in the blood total iron is given by serum iron level.TIBC helps in the storage of iron and aids in differentiating </w:t>
      </w:r>
      <w:r w:rsidR="00BF2243" w:rsidRPr="00E265BE">
        <w:rPr>
          <w:rFonts w:cs="Times New Roman"/>
          <w:szCs w:val="24"/>
        </w:rPr>
        <w:t xml:space="preserve">iron deficiency anemia. Ferritin is used to measure an individual's iron level and also helps in determining whether there is excessive or inadequate iron in the </w:t>
      </w:r>
      <w:r w:rsidR="000D77F7" w:rsidRPr="00E265BE">
        <w:rPr>
          <w:rFonts w:cs="Times New Roman"/>
          <w:szCs w:val="24"/>
        </w:rPr>
        <w:t>blood. Vitamin, Folic</w:t>
      </w:r>
      <w:r w:rsidR="00BF2243" w:rsidRPr="00E265BE">
        <w:rPr>
          <w:rFonts w:cs="Times New Roman"/>
          <w:szCs w:val="24"/>
        </w:rPr>
        <w:t xml:space="preserve"> acid, and B12 present in serum level obtained from a patient help diagnosing megaloblastic anemia. This anemia frequently occurs due to deficiency of folic acid and vitamin B12.</w:t>
      </w:r>
      <w:r w:rsidR="003D4905" w:rsidRPr="00E265BE">
        <w:rPr>
          <w:rFonts w:cs="Times New Roman"/>
          <w:szCs w:val="24"/>
        </w:rPr>
        <w:t xml:space="preserve">the presence of erythropoietin levels in the blood influences the diagnosis of </w:t>
      </w:r>
      <w:r w:rsidR="009C02DA" w:rsidRPr="00E265BE">
        <w:rPr>
          <w:rFonts w:cs="Times New Roman"/>
          <w:szCs w:val="24"/>
        </w:rPr>
        <w:t>anemia. Less</w:t>
      </w:r>
      <w:r w:rsidR="003D4905" w:rsidRPr="00E265BE">
        <w:rPr>
          <w:rFonts w:cs="Times New Roman"/>
          <w:szCs w:val="24"/>
        </w:rPr>
        <w:t xml:space="preserve"> </w:t>
      </w:r>
      <w:r w:rsidR="009C02DA" w:rsidRPr="00E265BE">
        <w:rPr>
          <w:rFonts w:cs="Times New Roman"/>
          <w:szCs w:val="24"/>
        </w:rPr>
        <w:t>erythropoietin</w:t>
      </w:r>
      <w:r w:rsidR="003D4905" w:rsidRPr="00E265BE">
        <w:rPr>
          <w:rFonts w:cs="Times New Roman"/>
          <w:szCs w:val="24"/>
        </w:rPr>
        <w:t xml:space="preserve"> production from the kidney indicates dysfunction, hence the low blood count in some </w:t>
      </w:r>
      <w:r w:rsidR="00E75F63" w:rsidRPr="00E265BE">
        <w:rPr>
          <w:rFonts w:cs="Times New Roman"/>
          <w:szCs w:val="24"/>
        </w:rPr>
        <w:t>patients</w:t>
      </w:r>
      <w:r w:rsidR="00E75F63" w:rsidRPr="00E265BE">
        <w:rPr>
          <w:rFonts w:cs="Times New Roman"/>
          <w:color w:val="333333"/>
          <w:szCs w:val="24"/>
          <w:shd w:val="clear" w:color="auto" w:fill="FFFFFF"/>
        </w:rPr>
        <w:t xml:space="preserve"> (Basavanthappa, 2011)</w:t>
      </w:r>
      <w:r w:rsidR="003D4905" w:rsidRPr="00E265BE">
        <w:rPr>
          <w:rFonts w:cs="Times New Roman"/>
          <w:szCs w:val="24"/>
        </w:rPr>
        <w:t xml:space="preserve">. </w:t>
      </w:r>
    </w:p>
    <w:p w:rsidR="000D77F7" w:rsidRPr="00E265BE" w:rsidRDefault="0067431E" w:rsidP="000D77F7">
      <w:pPr>
        <w:ind w:firstLine="720"/>
        <w:rPr>
          <w:rFonts w:cs="Times New Roman"/>
          <w:b/>
          <w:szCs w:val="24"/>
        </w:rPr>
      </w:pPr>
      <w:r w:rsidRPr="00E265BE">
        <w:rPr>
          <w:rFonts w:cs="Times New Roman"/>
          <w:b/>
          <w:szCs w:val="24"/>
        </w:rPr>
        <w:t>Question Two</w:t>
      </w:r>
    </w:p>
    <w:p w:rsidR="00CF2FFE" w:rsidRPr="00E265BE" w:rsidRDefault="0067431E" w:rsidP="003D4905">
      <w:pPr>
        <w:rPr>
          <w:rFonts w:cs="Times New Roman"/>
          <w:szCs w:val="24"/>
        </w:rPr>
      </w:pPr>
      <w:r w:rsidRPr="00E265BE">
        <w:rPr>
          <w:rFonts w:cs="Times New Roman"/>
          <w:szCs w:val="24"/>
        </w:rPr>
        <w:t>Microcytic Anemia</w:t>
      </w:r>
    </w:p>
    <w:p w:rsidR="000D77F7" w:rsidRPr="00E265BE" w:rsidRDefault="0067431E" w:rsidP="003D4905">
      <w:pPr>
        <w:rPr>
          <w:rFonts w:cs="Times New Roman"/>
          <w:szCs w:val="24"/>
        </w:rPr>
      </w:pPr>
      <w:r w:rsidRPr="00E265BE">
        <w:rPr>
          <w:rFonts w:cs="Times New Roman"/>
          <w:szCs w:val="24"/>
        </w:rPr>
        <w:t>Morphology</w:t>
      </w:r>
    </w:p>
    <w:p w:rsidR="000D77F7" w:rsidRPr="00E265BE" w:rsidRDefault="0067431E" w:rsidP="003D4905">
      <w:pPr>
        <w:rPr>
          <w:rFonts w:cs="Times New Roman"/>
          <w:szCs w:val="24"/>
        </w:rPr>
      </w:pPr>
      <w:r w:rsidRPr="00E265BE">
        <w:rPr>
          <w:rFonts w:cs="Times New Roman"/>
          <w:szCs w:val="24"/>
        </w:rPr>
        <w:t xml:space="preserve">Pale </w:t>
      </w:r>
      <w:r w:rsidR="00933F44" w:rsidRPr="00E265BE">
        <w:rPr>
          <w:rFonts w:cs="Times New Roman"/>
          <w:szCs w:val="24"/>
        </w:rPr>
        <w:t>color, small</w:t>
      </w:r>
      <w:r w:rsidRPr="00E265BE">
        <w:rPr>
          <w:rFonts w:cs="Times New Roman"/>
          <w:szCs w:val="24"/>
        </w:rPr>
        <w:t xml:space="preserve"> size</w:t>
      </w:r>
    </w:p>
    <w:p w:rsidR="000D77F7" w:rsidRPr="00E265BE" w:rsidRDefault="0067431E" w:rsidP="003D4905">
      <w:pPr>
        <w:rPr>
          <w:rFonts w:cs="Times New Roman"/>
          <w:szCs w:val="24"/>
        </w:rPr>
      </w:pPr>
      <w:r w:rsidRPr="00E265BE">
        <w:rPr>
          <w:rFonts w:cs="Times New Roman"/>
          <w:szCs w:val="24"/>
        </w:rPr>
        <w:t>MCH&lt;27pg</w:t>
      </w:r>
      <w:r w:rsidR="00933F44" w:rsidRPr="00E265BE">
        <w:rPr>
          <w:rFonts w:cs="Times New Roman"/>
          <w:szCs w:val="24"/>
        </w:rPr>
        <w:t>, MCV</w:t>
      </w:r>
      <w:r w:rsidRPr="00E265BE">
        <w:rPr>
          <w:rFonts w:cs="Times New Roman"/>
          <w:szCs w:val="24"/>
        </w:rPr>
        <w:t>&lt;80fl</w:t>
      </w:r>
    </w:p>
    <w:p w:rsidR="000D77F7" w:rsidRPr="00E265BE" w:rsidRDefault="0067431E" w:rsidP="003D4905">
      <w:pPr>
        <w:rPr>
          <w:rFonts w:cs="Times New Roman"/>
          <w:szCs w:val="24"/>
        </w:rPr>
      </w:pPr>
      <w:r w:rsidRPr="00E265BE">
        <w:rPr>
          <w:rFonts w:cs="Times New Roman"/>
          <w:szCs w:val="24"/>
        </w:rPr>
        <w:t>Etiology</w:t>
      </w:r>
    </w:p>
    <w:p w:rsidR="000D77F7" w:rsidRPr="00E265BE" w:rsidRDefault="0067431E" w:rsidP="003D4905">
      <w:pPr>
        <w:rPr>
          <w:rFonts w:cs="Times New Roman"/>
          <w:szCs w:val="24"/>
        </w:rPr>
      </w:pPr>
      <w:r w:rsidRPr="00E265BE">
        <w:rPr>
          <w:rFonts w:cs="Times New Roman"/>
          <w:szCs w:val="24"/>
        </w:rPr>
        <w:t xml:space="preserve">Copper </w:t>
      </w:r>
      <w:r w:rsidR="00933F44" w:rsidRPr="00E265BE">
        <w:rPr>
          <w:rFonts w:cs="Times New Roman"/>
          <w:szCs w:val="24"/>
        </w:rPr>
        <w:t>deficiency, lead</w:t>
      </w:r>
      <w:r w:rsidRPr="00E265BE">
        <w:rPr>
          <w:rFonts w:cs="Times New Roman"/>
          <w:szCs w:val="24"/>
        </w:rPr>
        <w:t xml:space="preserve"> poisoning</w:t>
      </w:r>
      <w:r w:rsidR="00933F44" w:rsidRPr="00E265BE">
        <w:rPr>
          <w:rFonts w:cs="Times New Roman"/>
          <w:szCs w:val="24"/>
        </w:rPr>
        <w:t>, thalassemia, deficiency</w:t>
      </w:r>
      <w:r w:rsidRPr="00E265BE">
        <w:rPr>
          <w:rFonts w:cs="Times New Roman"/>
          <w:szCs w:val="24"/>
        </w:rPr>
        <w:t xml:space="preserve"> of vitamin B6, and iron-deficiency anemia. </w:t>
      </w:r>
    </w:p>
    <w:p w:rsidR="000D77F7" w:rsidRPr="00E265BE" w:rsidRDefault="0067431E" w:rsidP="003D4905">
      <w:pPr>
        <w:rPr>
          <w:rFonts w:cs="Times New Roman"/>
          <w:szCs w:val="24"/>
        </w:rPr>
      </w:pPr>
      <w:r w:rsidRPr="00E265BE">
        <w:rPr>
          <w:rFonts w:cs="Times New Roman"/>
          <w:szCs w:val="24"/>
        </w:rPr>
        <w:t>Normocytic anemia</w:t>
      </w:r>
    </w:p>
    <w:p w:rsidR="000D77F7" w:rsidRPr="00E265BE" w:rsidRDefault="0067431E" w:rsidP="003D4905">
      <w:pPr>
        <w:rPr>
          <w:rFonts w:cs="Times New Roman"/>
          <w:szCs w:val="24"/>
        </w:rPr>
      </w:pPr>
      <w:r w:rsidRPr="00E265BE">
        <w:rPr>
          <w:rFonts w:cs="Times New Roman"/>
          <w:szCs w:val="24"/>
        </w:rPr>
        <w:t>Morphology</w:t>
      </w:r>
    </w:p>
    <w:p w:rsidR="000D77F7" w:rsidRPr="00E265BE" w:rsidRDefault="0067431E" w:rsidP="003D4905">
      <w:pPr>
        <w:rPr>
          <w:rFonts w:cs="Times New Roman"/>
          <w:szCs w:val="24"/>
        </w:rPr>
      </w:pPr>
      <w:r w:rsidRPr="00E265BE">
        <w:rPr>
          <w:rFonts w:cs="Times New Roman"/>
          <w:szCs w:val="24"/>
        </w:rPr>
        <w:t>Color and normal size</w:t>
      </w:r>
    </w:p>
    <w:p w:rsidR="000D77F7" w:rsidRPr="00E265BE" w:rsidRDefault="0067431E" w:rsidP="003D4905">
      <w:pPr>
        <w:rPr>
          <w:rFonts w:cs="Times New Roman"/>
          <w:szCs w:val="24"/>
        </w:rPr>
      </w:pPr>
      <w:r w:rsidRPr="00E265BE">
        <w:rPr>
          <w:rFonts w:cs="Times New Roman"/>
          <w:szCs w:val="24"/>
        </w:rPr>
        <w:t>MCH 27-34pg</w:t>
      </w:r>
      <w:r w:rsidR="00933F44" w:rsidRPr="00E265BE">
        <w:rPr>
          <w:rFonts w:cs="Times New Roman"/>
          <w:szCs w:val="24"/>
        </w:rPr>
        <w:t>, MCV</w:t>
      </w:r>
      <w:r w:rsidRPr="00E265BE">
        <w:rPr>
          <w:rFonts w:cs="Times New Roman"/>
          <w:szCs w:val="24"/>
        </w:rPr>
        <w:t xml:space="preserve"> 80-100fl</w:t>
      </w:r>
    </w:p>
    <w:p w:rsidR="000D77F7" w:rsidRPr="00E265BE" w:rsidRDefault="0067431E" w:rsidP="003D4905">
      <w:pPr>
        <w:rPr>
          <w:rFonts w:cs="Times New Roman"/>
          <w:szCs w:val="24"/>
        </w:rPr>
      </w:pPr>
      <w:r w:rsidRPr="00E265BE">
        <w:rPr>
          <w:rFonts w:cs="Times New Roman"/>
          <w:szCs w:val="24"/>
        </w:rPr>
        <w:t>Etiology</w:t>
      </w:r>
    </w:p>
    <w:p w:rsidR="000D77F7" w:rsidRPr="00E265BE" w:rsidRDefault="0067431E" w:rsidP="003D4905">
      <w:pPr>
        <w:rPr>
          <w:rFonts w:cs="Times New Roman"/>
          <w:szCs w:val="24"/>
        </w:rPr>
      </w:pPr>
      <w:r w:rsidRPr="00E265BE">
        <w:rPr>
          <w:rFonts w:cs="Times New Roman"/>
          <w:szCs w:val="24"/>
        </w:rPr>
        <w:t>Hemolysis, acute blood loss, chronic disease, endocrine disorders, cell anemia, pregnancy, cancers, chronic kidney disease, and sideroblastic anemia.</w:t>
      </w:r>
    </w:p>
    <w:p w:rsidR="00933F44" w:rsidRPr="00E265BE" w:rsidRDefault="0067431E" w:rsidP="003D4905">
      <w:pPr>
        <w:rPr>
          <w:rFonts w:cs="Times New Roman"/>
          <w:szCs w:val="24"/>
        </w:rPr>
      </w:pPr>
      <w:r w:rsidRPr="00E265BE">
        <w:rPr>
          <w:rFonts w:cs="Times New Roman"/>
          <w:szCs w:val="24"/>
        </w:rPr>
        <w:t>Macrocytic Anemia</w:t>
      </w:r>
    </w:p>
    <w:p w:rsidR="00933F44" w:rsidRPr="00E265BE" w:rsidRDefault="0067431E" w:rsidP="003D4905">
      <w:pPr>
        <w:rPr>
          <w:rFonts w:cs="Times New Roman"/>
          <w:szCs w:val="24"/>
        </w:rPr>
      </w:pPr>
      <w:r w:rsidRPr="00E265BE">
        <w:rPr>
          <w:rFonts w:cs="Times New Roman"/>
          <w:szCs w:val="24"/>
        </w:rPr>
        <w:t>Morphology</w:t>
      </w:r>
    </w:p>
    <w:p w:rsidR="00933F44" w:rsidRPr="00E265BE" w:rsidRDefault="0067431E" w:rsidP="003D4905">
      <w:pPr>
        <w:rPr>
          <w:rFonts w:cs="Times New Roman"/>
          <w:szCs w:val="24"/>
        </w:rPr>
      </w:pPr>
      <w:r w:rsidRPr="00E265BE">
        <w:rPr>
          <w:rFonts w:cs="Times New Roman"/>
          <w:szCs w:val="24"/>
        </w:rPr>
        <w:t>Normal color, large size</w:t>
      </w:r>
    </w:p>
    <w:p w:rsidR="00933F44" w:rsidRPr="00E265BE" w:rsidRDefault="0067431E" w:rsidP="003D4905">
      <w:pPr>
        <w:rPr>
          <w:rFonts w:cs="Times New Roman"/>
          <w:szCs w:val="24"/>
        </w:rPr>
      </w:pPr>
      <w:r w:rsidRPr="00E265BE">
        <w:rPr>
          <w:rFonts w:cs="Times New Roman"/>
          <w:szCs w:val="24"/>
        </w:rPr>
        <w:t>MCH &gt;34pg, MCV&gt;100fl</w:t>
      </w:r>
    </w:p>
    <w:p w:rsidR="00933F44" w:rsidRPr="00E265BE" w:rsidRDefault="0067431E" w:rsidP="003D4905">
      <w:pPr>
        <w:rPr>
          <w:rFonts w:cs="Times New Roman"/>
          <w:szCs w:val="24"/>
        </w:rPr>
      </w:pPr>
      <w:r w:rsidRPr="00E265BE">
        <w:rPr>
          <w:rFonts w:cs="Times New Roman"/>
          <w:szCs w:val="24"/>
        </w:rPr>
        <w:t>Etiology</w:t>
      </w:r>
    </w:p>
    <w:p w:rsidR="00933F44" w:rsidRPr="00E265BE" w:rsidRDefault="0067431E" w:rsidP="003D4905">
      <w:pPr>
        <w:rPr>
          <w:rFonts w:cs="Times New Roman"/>
          <w:szCs w:val="24"/>
        </w:rPr>
      </w:pPr>
      <w:r w:rsidRPr="00E265BE">
        <w:rPr>
          <w:rFonts w:cs="Times New Roman"/>
          <w:szCs w:val="24"/>
        </w:rPr>
        <w:t>Folic acid deficiency, splenectomy, and cobalamin deficiency.</w:t>
      </w:r>
    </w:p>
    <w:p w:rsidR="00CF2FFE" w:rsidRPr="00E265BE" w:rsidRDefault="0067431E" w:rsidP="00933F44">
      <w:pPr>
        <w:ind w:firstLine="720"/>
        <w:rPr>
          <w:rFonts w:cs="Times New Roman"/>
          <w:szCs w:val="24"/>
        </w:rPr>
      </w:pPr>
      <w:r w:rsidRPr="00E265BE">
        <w:rPr>
          <w:rFonts w:cs="Times New Roman"/>
          <w:szCs w:val="24"/>
        </w:rPr>
        <w:t xml:space="preserve">Laboratory results suggest that microcytic anemia is the utmost consistent with the selected lab results. An average corpuscular volume should be between 80-100 </w:t>
      </w:r>
      <w:r w:rsidR="009C02DA" w:rsidRPr="00E265BE">
        <w:rPr>
          <w:rFonts w:cs="Times New Roman"/>
          <w:szCs w:val="24"/>
        </w:rPr>
        <w:t>FL, but</w:t>
      </w:r>
      <w:r w:rsidRPr="00E265BE">
        <w:rPr>
          <w:rFonts w:cs="Times New Roman"/>
          <w:szCs w:val="24"/>
        </w:rPr>
        <w:t xml:space="preserve"> that is not the case for the chosen </w:t>
      </w:r>
      <w:r w:rsidR="009C02DA" w:rsidRPr="00E265BE">
        <w:rPr>
          <w:rFonts w:cs="Times New Roman"/>
          <w:szCs w:val="24"/>
        </w:rPr>
        <w:t>patient</w:t>
      </w:r>
      <w:r w:rsidRPr="00E265BE">
        <w:rPr>
          <w:rFonts w:cs="Times New Roman"/>
          <w:szCs w:val="24"/>
        </w:rPr>
        <w:t xml:space="preserve"> who has an MCV mean of 76fl. These results ascertain the presence of microcytic anemia since the stated condition is elaborated as an MCV of </w:t>
      </w:r>
      <w:r w:rsidR="00A61DFB" w:rsidRPr="00E265BE">
        <w:rPr>
          <w:rFonts w:cs="Times New Roman"/>
          <w:szCs w:val="24"/>
        </w:rPr>
        <w:t>not higher than 80fl. The patient's nutrient deficiency of vitamin B12 and iron is indicated by the increment of RDW of 20.5 percent .a healthy female individual red cell distribution width should range between 12.2-16.1 percent. In the case of platelets, a youthful female individual should range from 150,000 to 450,000 per microliter of blood. In this case, the patient platelet count (483 k/cu mm) indicates anemia of chronic disease or iron deficiency</w:t>
      </w:r>
      <w:r w:rsidR="00B63906" w:rsidRPr="00E265BE">
        <w:rPr>
          <w:rFonts w:cs="Times New Roman"/>
          <w:szCs w:val="24"/>
        </w:rPr>
        <w:t xml:space="preserve"> </w:t>
      </w:r>
      <w:r w:rsidR="00B63906" w:rsidRPr="00E265BE">
        <w:rPr>
          <w:rFonts w:cs="Times New Roman"/>
          <w:color w:val="333333"/>
          <w:szCs w:val="24"/>
          <w:shd w:val="clear" w:color="auto" w:fill="FFFFFF"/>
        </w:rPr>
        <w:t>(Sealock et al., 2016)</w:t>
      </w:r>
      <w:r w:rsidR="00A61DFB" w:rsidRPr="00E265BE">
        <w:rPr>
          <w:rFonts w:cs="Times New Roman"/>
          <w:szCs w:val="24"/>
        </w:rPr>
        <w:t xml:space="preserve">. </w:t>
      </w:r>
      <w:r w:rsidRPr="00E265BE">
        <w:rPr>
          <w:rFonts w:cs="Times New Roman"/>
          <w:szCs w:val="24"/>
        </w:rPr>
        <w:t xml:space="preserve"> </w:t>
      </w:r>
    </w:p>
    <w:p w:rsidR="00933F44" w:rsidRPr="00E265BE" w:rsidRDefault="0067431E" w:rsidP="00933F44">
      <w:pPr>
        <w:rPr>
          <w:rFonts w:cs="Times New Roman"/>
          <w:b/>
          <w:szCs w:val="24"/>
        </w:rPr>
      </w:pPr>
      <w:r w:rsidRPr="00E265BE">
        <w:rPr>
          <w:rFonts w:cs="Times New Roman"/>
          <w:b/>
          <w:szCs w:val="24"/>
        </w:rPr>
        <w:t xml:space="preserve">Question Three </w:t>
      </w:r>
    </w:p>
    <w:p w:rsidR="00145C42" w:rsidRPr="00E265BE" w:rsidRDefault="0067431E" w:rsidP="009C02DA">
      <w:pPr>
        <w:ind w:firstLine="720"/>
        <w:rPr>
          <w:rFonts w:cs="Times New Roman"/>
          <w:szCs w:val="24"/>
        </w:rPr>
      </w:pPr>
      <w:r w:rsidRPr="00E265BE">
        <w:rPr>
          <w:rFonts w:cs="Times New Roman"/>
          <w:szCs w:val="24"/>
        </w:rPr>
        <w:t xml:space="preserve">Anemia can cause a condition in which there is a </w:t>
      </w:r>
      <w:r w:rsidR="009C02DA" w:rsidRPr="00E265BE">
        <w:rPr>
          <w:rFonts w:cs="Times New Roman"/>
          <w:szCs w:val="24"/>
        </w:rPr>
        <w:t>deficiency</w:t>
      </w:r>
      <w:r w:rsidRPr="00E265BE">
        <w:rPr>
          <w:rFonts w:cs="Times New Roman"/>
          <w:szCs w:val="24"/>
        </w:rPr>
        <w:t xml:space="preserve"> in the </w:t>
      </w:r>
      <w:r w:rsidR="009C02DA" w:rsidRPr="00E265BE">
        <w:rPr>
          <w:rFonts w:cs="Times New Roman"/>
          <w:szCs w:val="24"/>
        </w:rPr>
        <w:t>concentration</w:t>
      </w:r>
      <w:r w:rsidRPr="00E265BE">
        <w:rPr>
          <w:rFonts w:cs="Times New Roman"/>
          <w:szCs w:val="24"/>
        </w:rPr>
        <w:t xml:space="preserve"> of </w:t>
      </w:r>
      <w:r w:rsidR="009C02DA" w:rsidRPr="00E265BE">
        <w:rPr>
          <w:rFonts w:cs="Times New Roman"/>
          <w:szCs w:val="24"/>
        </w:rPr>
        <w:t>hemoglobin</w:t>
      </w:r>
      <w:r w:rsidRPr="00E265BE">
        <w:rPr>
          <w:rFonts w:cs="Times New Roman"/>
          <w:szCs w:val="24"/>
        </w:rPr>
        <w:t xml:space="preserve"> and an ina</w:t>
      </w:r>
      <w:r w:rsidR="009C02DA" w:rsidRPr="00E265BE">
        <w:rPr>
          <w:rFonts w:cs="Times New Roman"/>
          <w:szCs w:val="24"/>
        </w:rPr>
        <w:t>de</w:t>
      </w:r>
      <w:r w:rsidRPr="00E265BE">
        <w:rPr>
          <w:rFonts w:cs="Times New Roman"/>
          <w:szCs w:val="24"/>
        </w:rPr>
        <w:t xml:space="preserve">quate number of </w:t>
      </w:r>
      <w:r w:rsidR="009C02DA" w:rsidRPr="00E265BE">
        <w:rPr>
          <w:rFonts w:cs="Times New Roman"/>
          <w:szCs w:val="24"/>
        </w:rPr>
        <w:t xml:space="preserve">erythrocytes. </w:t>
      </w:r>
      <w:r w:rsidRPr="00E265BE">
        <w:rPr>
          <w:rFonts w:cs="Times New Roman"/>
          <w:szCs w:val="24"/>
        </w:rPr>
        <w:t xml:space="preserve">RBCs are involved in the transportation of </w:t>
      </w:r>
      <w:r w:rsidR="009C02DA" w:rsidRPr="00E265BE">
        <w:rPr>
          <w:rFonts w:cs="Times New Roman"/>
          <w:szCs w:val="24"/>
        </w:rPr>
        <w:t>oxygen, an insufficie</w:t>
      </w:r>
      <w:r w:rsidRPr="00E265BE">
        <w:rPr>
          <w:rFonts w:cs="Times New Roman"/>
          <w:szCs w:val="24"/>
        </w:rPr>
        <w:t xml:space="preserve">nt amount of (O2) reaching the body tissues leads to tissue </w:t>
      </w:r>
      <w:r w:rsidR="009C02DA" w:rsidRPr="00E265BE">
        <w:rPr>
          <w:rFonts w:cs="Times New Roman"/>
          <w:szCs w:val="24"/>
        </w:rPr>
        <w:t>hypoxia. The</w:t>
      </w:r>
      <w:r w:rsidRPr="00E265BE">
        <w:rPr>
          <w:rFonts w:cs="Times New Roman"/>
          <w:szCs w:val="24"/>
        </w:rPr>
        <w:t xml:space="preserve"> manifestation of clinical anemia is caused by the slow body response to tissue </w:t>
      </w:r>
      <w:r w:rsidR="009C02DA" w:rsidRPr="00E265BE">
        <w:rPr>
          <w:rFonts w:cs="Times New Roman"/>
          <w:szCs w:val="24"/>
        </w:rPr>
        <w:t>hypoxia. A</w:t>
      </w:r>
      <w:r w:rsidRPr="00E265BE">
        <w:rPr>
          <w:rFonts w:cs="Times New Roman"/>
          <w:szCs w:val="24"/>
        </w:rPr>
        <w:t xml:space="preserve"> patient suffering from anemia has </w:t>
      </w:r>
      <w:r w:rsidR="009C02DA" w:rsidRPr="00E265BE">
        <w:rPr>
          <w:rFonts w:cs="Times New Roman"/>
          <w:szCs w:val="24"/>
        </w:rPr>
        <w:t>symptoms</w:t>
      </w:r>
      <w:r w:rsidRPr="00E265BE">
        <w:rPr>
          <w:rFonts w:cs="Times New Roman"/>
          <w:szCs w:val="24"/>
        </w:rPr>
        <w:t xml:space="preserve"> such as increased respiratory rate and heart </w:t>
      </w:r>
      <w:r w:rsidR="009C02DA" w:rsidRPr="00E265BE">
        <w:rPr>
          <w:rFonts w:cs="Times New Roman"/>
          <w:szCs w:val="24"/>
        </w:rPr>
        <w:t>rate. Signs</w:t>
      </w:r>
      <w:r w:rsidRPr="00E265BE">
        <w:rPr>
          <w:rFonts w:cs="Times New Roman"/>
          <w:szCs w:val="24"/>
        </w:rPr>
        <w:t xml:space="preserve"> </w:t>
      </w:r>
      <w:r w:rsidR="009C02DA" w:rsidRPr="00E265BE">
        <w:rPr>
          <w:rFonts w:cs="Times New Roman"/>
          <w:szCs w:val="24"/>
        </w:rPr>
        <w:t>and</w:t>
      </w:r>
      <w:r w:rsidRPr="00E265BE">
        <w:rPr>
          <w:rFonts w:cs="Times New Roman"/>
          <w:szCs w:val="24"/>
        </w:rPr>
        <w:t xml:space="preserve"> symptoms of chronic anemia include chest </w:t>
      </w:r>
      <w:r w:rsidR="009C02DA" w:rsidRPr="00E265BE">
        <w:rPr>
          <w:rFonts w:cs="Times New Roman"/>
          <w:szCs w:val="24"/>
        </w:rPr>
        <w:t>pain, exertional</w:t>
      </w:r>
      <w:r w:rsidRPr="00E265BE">
        <w:rPr>
          <w:rFonts w:cs="Times New Roman"/>
          <w:szCs w:val="24"/>
        </w:rPr>
        <w:t xml:space="preserve"> dyspnea</w:t>
      </w:r>
      <w:r w:rsidR="009C02DA" w:rsidRPr="00E265BE">
        <w:rPr>
          <w:rFonts w:cs="Times New Roman"/>
          <w:szCs w:val="24"/>
        </w:rPr>
        <w:t xml:space="preserve">, and fatigue, among </w:t>
      </w:r>
      <w:r w:rsidR="00573933" w:rsidRPr="00E265BE">
        <w:rPr>
          <w:rFonts w:cs="Times New Roman"/>
          <w:szCs w:val="24"/>
        </w:rPr>
        <w:t>others. Tissue hypoxia causes palpitations, and chest pain frequently results in the reduced oxygen-carrying capacity of the blood</w:t>
      </w:r>
      <w:r w:rsidR="00B63906" w:rsidRPr="00E265BE">
        <w:rPr>
          <w:rFonts w:cs="Times New Roman"/>
          <w:szCs w:val="24"/>
        </w:rPr>
        <w:t xml:space="preserve"> </w:t>
      </w:r>
      <w:r w:rsidR="00B63906" w:rsidRPr="00E265BE">
        <w:rPr>
          <w:rFonts w:cs="Times New Roman"/>
          <w:color w:val="333333"/>
          <w:szCs w:val="24"/>
          <w:shd w:val="clear" w:color="auto" w:fill="FFFFFF"/>
        </w:rPr>
        <w:t>(Bramble, 2017)</w:t>
      </w:r>
      <w:r w:rsidR="00573933" w:rsidRPr="00E265BE">
        <w:rPr>
          <w:rFonts w:cs="Times New Roman"/>
          <w:szCs w:val="24"/>
        </w:rPr>
        <w:t>.</w:t>
      </w:r>
    </w:p>
    <w:p w:rsidR="00145C42" w:rsidRPr="00E265BE" w:rsidRDefault="0067431E">
      <w:pPr>
        <w:rPr>
          <w:rFonts w:cs="Times New Roman"/>
          <w:szCs w:val="24"/>
        </w:rPr>
      </w:pPr>
      <w:r w:rsidRPr="00E265BE">
        <w:rPr>
          <w:rFonts w:cs="Times New Roman"/>
          <w:szCs w:val="24"/>
        </w:rPr>
        <w:br w:type="page"/>
      </w:r>
    </w:p>
    <w:p w:rsidR="00E265BE" w:rsidRPr="00E265BE" w:rsidRDefault="00E265BE" w:rsidP="00E265BE">
      <w:pPr>
        <w:shd w:val="clear" w:color="auto" w:fill="FFFFFF"/>
        <w:jc w:val="center"/>
        <w:rPr>
          <w:rFonts w:cs="Times New Roman"/>
          <w:color w:val="000000"/>
          <w:szCs w:val="24"/>
        </w:rPr>
      </w:pPr>
      <w:r w:rsidRPr="00E265BE">
        <w:rPr>
          <w:rFonts w:cs="Times New Roman"/>
          <w:color w:val="000000"/>
          <w:szCs w:val="24"/>
        </w:rPr>
        <w:t>References</w:t>
      </w:r>
    </w:p>
    <w:p w:rsidR="00E265BE" w:rsidRPr="00E265BE" w:rsidRDefault="00E265BE" w:rsidP="00E265BE">
      <w:pPr>
        <w:pStyle w:val="NormalWeb"/>
        <w:shd w:val="clear" w:color="auto" w:fill="FFFFFF"/>
        <w:spacing w:before="0" w:beforeAutospacing="0" w:after="0" w:afterAutospacing="0" w:line="550" w:lineRule="atLeast"/>
        <w:ind w:left="720" w:right="75" w:hanging="720"/>
        <w:rPr>
          <w:color w:val="000000"/>
        </w:rPr>
      </w:pPr>
      <w:r w:rsidRPr="00E265BE">
        <w:rPr>
          <w:color w:val="000000"/>
        </w:rPr>
        <w:t>Basavanthappa, B. (2011). Nursing management of respiratory problems. </w:t>
      </w:r>
      <w:r w:rsidRPr="00E265BE">
        <w:rPr>
          <w:rStyle w:val="Emphasis"/>
          <w:color w:val="000000"/>
        </w:rPr>
        <w:t>Essentials of Medical Surgical Nursing</w:t>
      </w:r>
      <w:r w:rsidRPr="00E265BE">
        <w:rPr>
          <w:color w:val="000000"/>
        </w:rPr>
        <w:t>, 53-53. </w:t>
      </w:r>
      <w:hyperlink r:id="rId6" w:history="1">
        <w:r w:rsidRPr="00E265BE">
          <w:rPr>
            <w:rStyle w:val="Hyperlink"/>
            <w:color w:val="000000"/>
          </w:rPr>
          <w:t>https://doi.org/10.5005/jp/books/11404_3</w:t>
        </w:r>
      </w:hyperlink>
    </w:p>
    <w:p w:rsidR="00E265BE" w:rsidRPr="00E265BE" w:rsidRDefault="00E265BE" w:rsidP="00E265BE">
      <w:pPr>
        <w:pStyle w:val="NormalWeb"/>
        <w:shd w:val="clear" w:color="auto" w:fill="FFFFFF"/>
        <w:spacing w:before="0" w:beforeAutospacing="0" w:after="0" w:afterAutospacing="0" w:line="550" w:lineRule="atLeast"/>
        <w:ind w:left="720" w:right="75" w:hanging="720"/>
        <w:rPr>
          <w:color w:val="000000"/>
        </w:rPr>
      </w:pPr>
      <w:r w:rsidRPr="00E265BE">
        <w:rPr>
          <w:color w:val="000000"/>
        </w:rPr>
        <w:t>Bramble, M. (2017). Nursing for wellness in older adults S. Hunter and C. Miller. Wolters Kluwer, Philadelphia, 2016. ISBN 9781922228758 (paperback). </w:t>
      </w:r>
      <w:r w:rsidRPr="00E265BE">
        <w:rPr>
          <w:rStyle w:val="Emphasis"/>
          <w:color w:val="000000"/>
        </w:rPr>
        <w:t>Australasian Journal on Ageing</w:t>
      </w:r>
      <w:r w:rsidRPr="00E265BE">
        <w:rPr>
          <w:color w:val="000000"/>
        </w:rPr>
        <w:t>, </w:t>
      </w:r>
      <w:r w:rsidRPr="00E265BE">
        <w:rPr>
          <w:rStyle w:val="Emphasis"/>
          <w:color w:val="000000"/>
        </w:rPr>
        <w:t>36</w:t>
      </w:r>
      <w:r w:rsidRPr="00E265BE">
        <w:rPr>
          <w:color w:val="000000"/>
        </w:rPr>
        <w:t>(1), 77-77. </w:t>
      </w:r>
      <w:hyperlink r:id="rId7" w:history="1">
        <w:r w:rsidRPr="00E265BE">
          <w:rPr>
            <w:rStyle w:val="Hyperlink"/>
            <w:color w:val="000000"/>
          </w:rPr>
          <w:t>https://doi.org/10.1111/ajag.12387</w:t>
        </w:r>
      </w:hyperlink>
    </w:p>
    <w:p w:rsidR="00E265BE" w:rsidRPr="00E265BE" w:rsidRDefault="00E265BE" w:rsidP="00E265BE">
      <w:pPr>
        <w:pStyle w:val="NormalWeb"/>
        <w:shd w:val="clear" w:color="auto" w:fill="FFFFFF"/>
        <w:spacing w:before="0" w:beforeAutospacing="0" w:after="0" w:afterAutospacing="0" w:line="550" w:lineRule="atLeast"/>
        <w:ind w:left="720" w:right="75" w:hanging="720"/>
        <w:rPr>
          <w:color w:val="000000"/>
        </w:rPr>
      </w:pPr>
      <w:r w:rsidRPr="00E265BE">
        <w:rPr>
          <w:color w:val="000000"/>
        </w:rPr>
        <w:t>Sealock, K., Lilley, L. L., Collins, S. R., &amp; Snyder, J. S. (2016). </w:t>
      </w:r>
      <w:r w:rsidRPr="00E265BE">
        <w:rPr>
          <w:rStyle w:val="Emphasis"/>
          <w:color w:val="000000"/>
        </w:rPr>
        <w:t>Pharmacology for Canadian health care practice</w:t>
      </w:r>
      <w:r w:rsidRPr="00E265BE">
        <w:rPr>
          <w:color w:val="000000"/>
        </w:rPr>
        <w:t>. Elsevier Health Sciences.</w:t>
      </w:r>
    </w:p>
    <w:p w:rsidR="00A61DFB" w:rsidRPr="00E265BE" w:rsidRDefault="00A61DFB" w:rsidP="009C02DA">
      <w:pPr>
        <w:ind w:firstLine="720"/>
        <w:rPr>
          <w:rFonts w:cs="Times New Roman"/>
          <w:szCs w:val="24"/>
        </w:rPr>
      </w:pPr>
    </w:p>
    <w:sectPr w:rsidR="00A61DFB" w:rsidRPr="00E265B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7431E" w:rsidRDefault="0067431E">
      <w:pPr>
        <w:spacing w:after="0" w:line="240" w:lineRule="auto"/>
      </w:pPr>
      <w:r>
        <w:separator/>
      </w:r>
    </w:p>
  </w:endnote>
  <w:endnote w:type="continuationSeparator" w:id="0">
    <w:p w:rsidR="0067431E" w:rsidRDefault="006743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7431E" w:rsidRDefault="0067431E">
      <w:pPr>
        <w:spacing w:after="0" w:line="240" w:lineRule="auto"/>
      </w:pPr>
      <w:r>
        <w:separator/>
      </w:r>
    </w:p>
  </w:footnote>
  <w:footnote w:type="continuationSeparator" w:id="0">
    <w:p w:rsidR="0067431E" w:rsidRDefault="006743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66942399"/>
      <w:docPartObj>
        <w:docPartGallery w:val="Page Numbers (Top of Page)"/>
        <w:docPartUnique/>
      </w:docPartObj>
    </w:sdtPr>
    <w:sdtEndPr>
      <w:rPr>
        <w:noProof/>
      </w:rPr>
    </w:sdtEndPr>
    <w:sdtContent>
      <w:p w:rsidR="00743D28" w:rsidRDefault="0067431E">
        <w:pPr>
          <w:pStyle w:val="Header"/>
          <w:jc w:val="right"/>
        </w:pPr>
        <w:r>
          <w:fldChar w:fldCharType="begin"/>
        </w:r>
        <w:r>
          <w:instrText xml:space="preserve"> PAGE   \* MERGEFORMAT </w:instrText>
        </w:r>
        <w:r>
          <w:fldChar w:fldCharType="separate"/>
        </w:r>
        <w:r w:rsidR="00E265BE">
          <w:rPr>
            <w:noProof/>
          </w:rPr>
          <w:t>3</w:t>
        </w:r>
        <w:r>
          <w:rPr>
            <w:noProof/>
          </w:rPr>
          <w:fldChar w:fldCharType="end"/>
        </w:r>
      </w:p>
    </w:sdtContent>
  </w:sdt>
  <w:p w:rsidR="00743D28" w:rsidRDefault="00743D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82"/>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333"/>
    <w:rsid w:val="00031114"/>
    <w:rsid w:val="0006707F"/>
    <w:rsid w:val="000C3333"/>
    <w:rsid w:val="000D77F7"/>
    <w:rsid w:val="00145C42"/>
    <w:rsid w:val="003D4905"/>
    <w:rsid w:val="00435198"/>
    <w:rsid w:val="00573933"/>
    <w:rsid w:val="0067431E"/>
    <w:rsid w:val="00743D28"/>
    <w:rsid w:val="00901A4A"/>
    <w:rsid w:val="00933F44"/>
    <w:rsid w:val="009737D3"/>
    <w:rsid w:val="009C02DA"/>
    <w:rsid w:val="00A61DFB"/>
    <w:rsid w:val="00AD7547"/>
    <w:rsid w:val="00B63906"/>
    <w:rsid w:val="00BE67BB"/>
    <w:rsid w:val="00BF2243"/>
    <w:rsid w:val="00C7143D"/>
    <w:rsid w:val="00C918D7"/>
    <w:rsid w:val="00CF2FFE"/>
    <w:rsid w:val="00E265BE"/>
    <w:rsid w:val="00E461D7"/>
    <w:rsid w:val="00E75F63"/>
    <w:rsid w:val="00FF02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343738-EE62-401E-912B-E49C2C69B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3D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3D28"/>
  </w:style>
  <w:style w:type="paragraph" w:styleId="Footer">
    <w:name w:val="footer"/>
    <w:basedOn w:val="Normal"/>
    <w:link w:val="FooterChar"/>
    <w:uiPriority w:val="99"/>
    <w:unhideWhenUsed/>
    <w:rsid w:val="00743D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3D28"/>
  </w:style>
  <w:style w:type="paragraph" w:styleId="NormalWeb">
    <w:name w:val="Normal (Web)"/>
    <w:basedOn w:val="Normal"/>
    <w:uiPriority w:val="99"/>
    <w:semiHidden/>
    <w:unhideWhenUsed/>
    <w:rsid w:val="00145C42"/>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145C42"/>
    <w:rPr>
      <w:i/>
      <w:iCs/>
    </w:rPr>
  </w:style>
  <w:style w:type="character" w:styleId="Hyperlink">
    <w:name w:val="Hyperlink"/>
    <w:basedOn w:val="DefaultParagraphFont"/>
    <w:uiPriority w:val="99"/>
    <w:semiHidden/>
    <w:unhideWhenUsed/>
    <w:rsid w:val="00145C42"/>
    <w:rPr>
      <w:color w:val="0000FF"/>
      <w:u w:val="single"/>
    </w:rPr>
  </w:style>
  <w:style w:type="character" w:customStyle="1" w:styleId="gray">
    <w:name w:val="gray"/>
    <w:basedOn w:val="DefaultParagraphFont"/>
    <w:rsid w:val="00E75F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0745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webSettings" Target="webSettings.xml" /><Relationship Id="rId7" Type="http://schemas.openxmlformats.org/officeDocument/2006/relationships/hyperlink" Target="https://doi.org/10.1111/ajag.12387"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5005/jp/books/11404_3" TargetMode="External"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574</Words>
  <Characters>3272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Guest User</cp:lastModifiedBy>
  <cp:revision>2</cp:revision>
  <dcterms:created xsi:type="dcterms:W3CDTF">2020-08-21T07:14:00Z</dcterms:created>
  <dcterms:modified xsi:type="dcterms:W3CDTF">2020-08-21T07:14:00Z</dcterms:modified>
</cp:coreProperties>
</file>